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Pr="00AD5C13" w:rsidRDefault="00785FBE"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Pr="00F002C2" w:rsidRDefault="0074095C" w:rsidP="0074095C">
      <w:pPr>
        <w:spacing w:before="120" w:line="276" w:lineRule="auto"/>
        <w:ind w:left="720"/>
        <w:jc w:val="both"/>
        <w:rPr>
          <w:rFonts w:ascii="Calibri" w:hAnsi="Calibri" w:cs="Tahoma"/>
          <w:sz w:val="22"/>
          <w:szCs w:val="22"/>
        </w:rPr>
      </w:pPr>
    </w:p>
    <w:p w:rsidR="0074095C" w:rsidRPr="00F002C2" w:rsidRDefault="0074095C" w:rsidP="0074095C">
      <w:pPr>
        <w:pStyle w:val="Nadpis1"/>
      </w:pPr>
      <w:r w:rsidRPr="00F002C2">
        <w:t>Předmět nájmu</w:t>
      </w:r>
    </w:p>
    <w:p w:rsidR="008F02A9" w:rsidRPr="00F002C2"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Tahoma"/>
          <w:sz w:val="22"/>
          <w:szCs w:val="22"/>
        </w:rPr>
        <w:t xml:space="preserve">Předmětem nájmu je </w:t>
      </w:r>
      <w:r w:rsidR="002F6173">
        <w:rPr>
          <w:rFonts w:ascii="Calibri" w:hAnsi="Calibri" w:cs="Calibri"/>
          <w:sz w:val="22"/>
          <w:szCs w:val="22"/>
        </w:rPr>
        <w:t xml:space="preserve">nebytový prostor </w:t>
      </w:r>
      <w:r w:rsidR="009B33B1" w:rsidRPr="00F002C2">
        <w:rPr>
          <w:rFonts w:ascii="Calibri" w:hAnsi="Calibri" w:cs="Calibri"/>
          <w:sz w:val="22"/>
          <w:szCs w:val="22"/>
        </w:rPr>
        <w:t>o v</w:t>
      </w:r>
      <w:r w:rsidR="009B33B1" w:rsidRPr="00F002C2">
        <w:rPr>
          <w:rFonts w:asciiTheme="minorHAnsi" w:hAnsiTheme="minorHAnsi" w:cs="Calibri"/>
          <w:sz w:val="22"/>
          <w:szCs w:val="22"/>
        </w:rPr>
        <w:t xml:space="preserve">ýměře </w:t>
      </w:r>
      <w:r w:rsidR="00051194" w:rsidRPr="00F002C2">
        <w:rPr>
          <w:rFonts w:asciiTheme="minorHAnsi" w:hAnsiTheme="minorHAnsi" w:cs="Calibri"/>
          <w:sz w:val="22"/>
          <w:szCs w:val="22"/>
        </w:rPr>
        <w:t>1</w:t>
      </w:r>
      <w:r w:rsidR="002F6173">
        <w:rPr>
          <w:rFonts w:asciiTheme="minorHAnsi" w:hAnsiTheme="minorHAnsi" w:cs="Calibri"/>
          <w:sz w:val="22"/>
          <w:szCs w:val="22"/>
        </w:rPr>
        <w:t>2,7</w:t>
      </w:r>
      <w:r w:rsidR="009B33B1" w:rsidRPr="00F002C2">
        <w:rPr>
          <w:rFonts w:asciiTheme="minorHAnsi" w:hAnsiTheme="minorHAnsi"/>
          <w:sz w:val="22"/>
          <w:szCs w:val="22"/>
        </w:rPr>
        <w:t xml:space="preserve"> m²,</w:t>
      </w:r>
      <w:r w:rsidR="002F6173">
        <w:rPr>
          <w:rFonts w:ascii="Calibri" w:hAnsi="Calibri" w:cs="Calibri"/>
          <w:sz w:val="22"/>
          <w:szCs w:val="22"/>
        </w:rPr>
        <w:t xml:space="preserve"> který</w:t>
      </w:r>
      <w:r w:rsidR="00DF08ED">
        <w:rPr>
          <w:rFonts w:ascii="Calibri" w:hAnsi="Calibri" w:cs="Calibri"/>
          <w:sz w:val="22"/>
          <w:szCs w:val="22"/>
        </w:rPr>
        <w:t xml:space="preserve"> se nachází na</w:t>
      </w:r>
      <w:r w:rsidRPr="00F002C2">
        <w:rPr>
          <w:rFonts w:ascii="Calibri" w:hAnsi="Calibri" w:cs="Calibri"/>
          <w:sz w:val="22"/>
          <w:szCs w:val="22"/>
        </w:rPr>
        <w:t xml:space="preserve"> pozemk</w:t>
      </w:r>
      <w:r w:rsidR="00051194" w:rsidRPr="00F002C2">
        <w:rPr>
          <w:rFonts w:ascii="Calibri" w:hAnsi="Calibri" w:cs="Calibri"/>
          <w:sz w:val="22"/>
          <w:szCs w:val="22"/>
        </w:rPr>
        <w:t>u</w:t>
      </w:r>
      <w:r w:rsidRPr="00F002C2">
        <w:rPr>
          <w:rFonts w:ascii="Calibri" w:hAnsi="Calibri" w:cs="Calibri"/>
          <w:sz w:val="22"/>
          <w:szCs w:val="22"/>
        </w:rPr>
        <w:t xml:space="preserve"> s parcelním čísl</w:t>
      </w:r>
      <w:r w:rsidR="00051194" w:rsidRPr="00F002C2">
        <w:rPr>
          <w:rFonts w:ascii="Calibri" w:hAnsi="Calibri" w:cs="Calibri"/>
          <w:sz w:val="22"/>
          <w:szCs w:val="22"/>
        </w:rPr>
        <w:t>em</w:t>
      </w:r>
      <w:r w:rsidRPr="00F002C2">
        <w:rPr>
          <w:rFonts w:ascii="Calibri" w:hAnsi="Calibri" w:cs="Calibri"/>
          <w:sz w:val="22"/>
          <w:szCs w:val="22"/>
        </w:rPr>
        <w:t xml:space="preserve"> </w:t>
      </w:r>
      <w:r w:rsidR="00051194" w:rsidRPr="00F002C2">
        <w:rPr>
          <w:rFonts w:ascii="Calibri" w:hAnsi="Calibri" w:cs="Calibri"/>
          <w:sz w:val="22"/>
          <w:szCs w:val="22"/>
        </w:rPr>
        <w:t>1</w:t>
      </w:r>
      <w:r w:rsidRPr="00F002C2">
        <w:rPr>
          <w:rFonts w:ascii="Calibri" w:hAnsi="Calibri" w:cs="Calibri"/>
          <w:sz w:val="22"/>
          <w:szCs w:val="22"/>
        </w:rPr>
        <w:t>564/1,</w:t>
      </w:r>
      <w:r w:rsidR="009B33B1" w:rsidRPr="00F002C2">
        <w:rPr>
          <w:rFonts w:ascii="Calibri" w:hAnsi="Calibri" w:cs="Calibri"/>
          <w:sz w:val="22"/>
          <w:szCs w:val="22"/>
        </w:rPr>
        <w:t xml:space="preserve"> katastrální území Troja, obec Praha</w:t>
      </w:r>
      <w:r w:rsidRPr="00F002C2">
        <w:rPr>
          <w:rFonts w:asciiTheme="minorHAnsi" w:hAnsiTheme="minorHAnsi"/>
          <w:sz w:val="22"/>
          <w:szCs w:val="22"/>
        </w:rPr>
        <w:t xml:space="preserve">. Předmět nájmu je graficky vymezen v plánku, který je </w:t>
      </w:r>
      <w:r w:rsidR="00960566">
        <w:rPr>
          <w:rFonts w:asciiTheme="minorHAnsi" w:hAnsiTheme="minorHAnsi"/>
          <w:b/>
          <w:sz w:val="22"/>
          <w:szCs w:val="22"/>
        </w:rPr>
        <w:t xml:space="preserve">přílohou č. 1 </w:t>
      </w:r>
      <w:r w:rsidRPr="00F002C2">
        <w:rPr>
          <w:rFonts w:ascii="Calibri" w:hAnsi="Calibri" w:cs="Tahoma"/>
          <w:sz w:val="22"/>
          <w:szCs w:val="22"/>
        </w:rPr>
        <w:t>této smlouvy a takto její nedílnou součástí (dále jen „</w:t>
      </w:r>
      <w:r w:rsidRPr="00F002C2">
        <w:rPr>
          <w:rFonts w:ascii="Calibri" w:hAnsi="Calibri" w:cs="Tahoma"/>
          <w:b/>
          <w:sz w:val="22"/>
          <w:szCs w:val="22"/>
        </w:rPr>
        <w:t>předmět nájmu</w:t>
      </w:r>
      <w:r w:rsidRPr="00F002C2">
        <w:rPr>
          <w:rFonts w:ascii="Calibri" w:hAnsi="Calibri" w:cs="Tahoma"/>
          <w:sz w:val="22"/>
          <w:szCs w:val="22"/>
        </w:rPr>
        <w:t xml:space="preserve">“). </w:t>
      </w:r>
    </w:p>
    <w:p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E04D5B" w:rsidRDefault="00E04D5B" w:rsidP="00810CE8">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provozování stánku s občerstvením</w:t>
      </w:r>
      <w:r>
        <w:rPr>
          <w:rFonts w:ascii="Calibri" w:hAnsi="Calibri" w:cs="Tahoma"/>
          <w:sz w:val="22"/>
          <w:szCs w:val="22"/>
        </w:rPr>
        <w:t xml:space="preserve"> jako </w:t>
      </w:r>
      <w:r w:rsidRPr="005A53DB">
        <w:rPr>
          <w:rFonts w:ascii="Calibri" w:hAnsi="Calibri" w:cs="Tahoma"/>
          <w:sz w:val="22"/>
          <w:szCs w:val="22"/>
        </w:rPr>
        <w:t>„Doplňkový IMPULZNÍ prodej“</w:t>
      </w:r>
      <w:r>
        <w:rPr>
          <w:rFonts w:ascii="Calibri" w:hAnsi="Calibri" w:cs="Tahoma"/>
          <w:sz w:val="22"/>
          <w:szCs w:val="22"/>
        </w:rPr>
        <w:t>.</w:t>
      </w:r>
      <w:r w:rsidRPr="005A53DB">
        <w:rPr>
          <w:rFonts w:ascii="Calibri" w:hAnsi="Calibri" w:cs="Tahoma"/>
          <w:sz w:val="22"/>
          <w:szCs w:val="22"/>
        </w:rPr>
        <w:t xml:space="preserve"> Prostorové i energetické možnosti těchto stánků jsou velmi omezené, nájemce musí prokázat zázemí mimo areál zoo.</w:t>
      </w:r>
      <w:r>
        <w:rPr>
          <w:rFonts w:asciiTheme="minorHAnsi" w:hAnsiTheme="minorHAnsi"/>
        </w:rPr>
        <w:t xml:space="preserve"> </w:t>
      </w:r>
    </w:p>
    <w:p w:rsidR="00810CE8" w:rsidRPr="00F002C2" w:rsidRDefault="00810CE8" w:rsidP="00810CE8">
      <w:pPr>
        <w:spacing w:before="120" w:line="276" w:lineRule="auto"/>
        <w:ind w:left="720"/>
        <w:jc w:val="both"/>
        <w:rPr>
          <w:rFonts w:ascii="Calibri" w:hAnsi="Calibri" w:cs="Tahoma"/>
          <w:sz w:val="22"/>
          <w:szCs w:val="22"/>
        </w:rPr>
      </w:pPr>
    </w:p>
    <w:p w:rsidR="001307D6" w:rsidRPr="00F002C2" w:rsidRDefault="001307D6" w:rsidP="001307D6">
      <w:pPr>
        <w:pStyle w:val="Odstavecseseznamem"/>
        <w:numPr>
          <w:ilvl w:val="0"/>
          <w:numId w:val="11"/>
        </w:numPr>
        <w:spacing w:after="200" w:line="276" w:lineRule="auto"/>
        <w:rPr>
          <w:rFonts w:asciiTheme="minorHAnsi" w:hAnsiTheme="minorHAnsi"/>
          <w:sz w:val="22"/>
          <w:szCs w:val="22"/>
        </w:rPr>
      </w:pPr>
      <w:r w:rsidRPr="00F002C2">
        <w:rPr>
          <w:rFonts w:asciiTheme="minorHAnsi" w:hAnsiTheme="minorHAnsi"/>
          <w:sz w:val="22"/>
          <w:szCs w:val="22"/>
        </w:rPr>
        <w:t xml:space="preserve">Základní charakteristika provozu </w:t>
      </w:r>
      <w:r w:rsidR="002F6173">
        <w:rPr>
          <w:rFonts w:asciiTheme="minorHAnsi" w:hAnsiTheme="minorHAnsi"/>
          <w:sz w:val="22"/>
          <w:szCs w:val="22"/>
        </w:rPr>
        <w:t>stánku „</w:t>
      </w:r>
      <w:proofErr w:type="spellStart"/>
      <w:r w:rsidR="002F6173">
        <w:rPr>
          <w:rFonts w:asciiTheme="minorHAnsi" w:hAnsiTheme="minorHAnsi"/>
          <w:sz w:val="22"/>
          <w:szCs w:val="22"/>
        </w:rPr>
        <w:t>Minikoblížky</w:t>
      </w:r>
      <w:proofErr w:type="spellEnd"/>
      <w:r w:rsidR="002F6173">
        <w:rPr>
          <w:rFonts w:asciiTheme="minorHAnsi" w:hAnsiTheme="minorHAnsi"/>
          <w:sz w:val="22"/>
          <w:szCs w:val="22"/>
        </w:rPr>
        <w:t>“</w:t>
      </w:r>
    </w:p>
    <w:p w:rsidR="001307D6" w:rsidRPr="00F002C2" w:rsidRDefault="001307D6" w:rsidP="001307D6">
      <w:pPr>
        <w:pStyle w:val="Bezmezer"/>
        <w:numPr>
          <w:ilvl w:val="0"/>
          <w:numId w:val="10"/>
        </w:numPr>
      </w:pPr>
      <w:r w:rsidRPr="00F002C2">
        <w:t xml:space="preserve">Sezónní občerstvení  </w:t>
      </w:r>
    </w:p>
    <w:p w:rsidR="001307D6" w:rsidRPr="00F002C2" w:rsidRDefault="001307D6" w:rsidP="001307D6">
      <w:pPr>
        <w:pStyle w:val="Bezmezer"/>
        <w:numPr>
          <w:ilvl w:val="0"/>
          <w:numId w:val="10"/>
        </w:numPr>
      </w:pPr>
      <w:r w:rsidRPr="00F002C2">
        <w:t>provoz bez obsluhy = prodej přes pult</w:t>
      </w:r>
    </w:p>
    <w:p w:rsidR="001307D6" w:rsidRPr="00F002C2" w:rsidRDefault="001307D6" w:rsidP="001307D6">
      <w:pPr>
        <w:pStyle w:val="Bezmezer"/>
        <w:numPr>
          <w:ilvl w:val="0"/>
          <w:numId w:val="10"/>
        </w:numPr>
      </w:pPr>
      <w:r w:rsidRPr="00F002C2">
        <w:t>venkovní prodej do jednorázových (nevratných) ekologických obalů</w:t>
      </w:r>
    </w:p>
    <w:p w:rsidR="007B2928" w:rsidRPr="00F002C2" w:rsidRDefault="007B2928" w:rsidP="001307D6">
      <w:pPr>
        <w:pStyle w:val="Bezmezer"/>
        <w:numPr>
          <w:ilvl w:val="0"/>
          <w:numId w:val="10"/>
        </w:numPr>
      </w:pPr>
      <w:r w:rsidRPr="00F002C2">
        <w:t>kapacita míst k</w:t>
      </w:r>
      <w:r w:rsidR="00E818D4">
        <w:t> </w:t>
      </w:r>
      <w:r w:rsidRPr="00F002C2">
        <w:t>sezení</w:t>
      </w:r>
      <w:r w:rsidR="00E818D4">
        <w:t xml:space="preserve"> </w:t>
      </w:r>
      <w:r w:rsidRPr="00F002C2">
        <w:t>venku</w:t>
      </w:r>
    </w:p>
    <w:p w:rsidR="00810CE8" w:rsidRPr="00F002C2" w:rsidRDefault="00810CE8" w:rsidP="00810CE8">
      <w:pPr>
        <w:pStyle w:val="Bezmezer"/>
        <w:ind w:left="1068"/>
      </w:pPr>
    </w:p>
    <w:p w:rsidR="00450A6C" w:rsidRPr="00F002C2" w:rsidRDefault="00450A6C" w:rsidP="00450A6C">
      <w:pPr>
        <w:pStyle w:val="Odstavecseseznamem"/>
        <w:numPr>
          <w:ilvl w:val="0"/>
          <w:numId w:val="11"/>
        </w:numPr>
        <w:spacing w:after="200" w:line="276" w:lineRule="auto"/>
        <w:rPr>
          <w:rFonts w:asciiTheme="minorHAnsi" w:hAnsiTheme="minorHAnsi"/>
          <w:sz w:val="22"/>
          <w:szCs w:val="22"/>
        </w:rPr>
      </w:pPr>
      <w:r w:rsidRPr="00F002C2">
        <w:rPr>
          <w:rFonts w:asciiTheme="minorHAnsi" w:hAnsiTheme="minorHAnsi"/>
          <w:sz w:val="22"/>
          <w:szCs w:val="22"/>
        </w:rPr>
        <w:lastRenderedPageBreak/>
        <w:t xml:space="preserve">Požadavky na sortiment provozu </w:t>
      </w:r>
      <w:r w:rsidR="002F6173">
        <w:rPr>
          <w:rFonts w:asciiTheme="minorHAnsi" w:hAnsiTheme="minorHAnsi"/>
          <w:sz w:val="22"/>
          <w:szCs w:val="22"/>
        </w:rPr>
        <w:t>stánku „</w:t>
      </w:r>
      <w:proofErr w:type="spellStart"/>
      <w:r w:rsidR="002F6173">
        <w:rPr>
          <w:rFonts w:asciiTheme="minorHAnsi" w:hAnsiTheme="minorHAnsi"/>
          <w:sz w:val="22"/>
          <w:szCs w:val="22"/>
        </w:rPr>
        <w:t>Minikoblížky</w:t>
      </w:r>
      <w:proofErr w:type="spellEnd"/>
      <w:r w:rsidR="002F6173">
        <w:rPr>
          <w:rFonts w:asciiTheme="minorHAnsi" w:hAnsiTheme="minorHAnsi"/>
          <w:sz w:val="22"/>
          <w:szCs w:val="22"/>
        </w:rPr>
        <w:t>“</w:t>
      </w:r>
    </w:p>
    <w:p w:rsidR="00A03984" w:rsidRDefault="00A03984" w:rsidP="00A03984">
      <w:pPr>
        <w:pStyle w:val="Bezmezer"/>
        <w:numPr>
          <w:ilvl w:val="0"/>
          <w:numId w:val="12"/>
        </w:numPr>
      </w:pPr>
      <w:r w:rsidRPr="00F002C2">
        <w:t>Sortiment je určen tak, aby odpovídal prostorovým a technickým mož</w:t>
      </w:r>
      <w:r w:rsidR="00810CE8" w:rsidRPr="00F002C2">
        <w:t xml:space="preserve">nostem stánku. </w:t>
      </w:r>
    </w:p>
    <w:p w:rsidR="002F6173" w:rsidRPr="00F002C2" w:rsidRDefault="002F6173" w:rsidP="00A03984">
      <w:pPr>
        <w:pStyle w:val="Bezmezer"/>
        <w:numPr>
          <w:ilvl w:val="0"/>
          <w:numId w:val="12"/>
        </w:numPr>
      </w:pPr>
      <w:r>
        <w:t>Nabízen bude tzv. sladký sortiment,</w:t>
      </w:r>
      <w:r w:rsidR="00493D58">
        <w:t xml:space="preserve"> bude se jednat o prodej hotových a připravovaných sladkých výrobků,</w:t>
      </w:r>
      <w:r>
        <w:t xml:space="preserve"> </w:t>
      </w:r>
      <w:r w:rsidR="00DF08ED">
        <w:t xml:space="preserve">podmínkou v sortimentu jsou </w:t>
      </w:r>
      <w:proofErr w:type="spellStart"/>
      <w:r w:rsidR="00DF08ED">
        <w:t>m</w:t>
      </w:r>
      <w:r w:rsidR="00493D58">
        <w:t>inikoblížky</w:t>
      </w:r>
      <w:proofErr w:type="spellEnd"/>
      <w:r w:rsidR="00493D58">
        <w:t>, doplňkovým prodejem může být</w:t>
      </w:r>
      <w:r w:rsidR="00E818D4">
        <w:t xml:space="preserve"> např. balená</w:t>
      </w:r>
      <w:r w:rsidR="00493D58">
        <w:t xml:space="preserve"> zmrzlina, sladké pečivo, croissanty, oplatky, uchazeč může případně doplnit i další</w:t>
      </w:r>
      <w:r w:rsidR="00E818D4">
        <w:t xml:space="preserve"> drobný</w:t>
      </w:r>
      <w:r w:rsidR="00493D58">
        <w:t xml:space="preserve"> sortiment </w:t>
      </w:r>
    </w:p>
    <w:p w:rsidR="00CB36FA" w:rsidRPr="00F002C2" w:rsidRDefault="00960566" w:rsidP="00A03984">
      <w:pPr>
        <w:pStyle w:val="Bezmezer"/>
        <w:numPr>
          <w:ilvl w:val="0"/>
          <w:numId w:val="12"/>
        </w:numPr>
      </w:pPr>
      <w:r>
        <w:t xml:space="preserve">Nápoje – teplé nápoje </w:t>
      </w:r>
      <w:r w:rsidR="00CB36FA" w:rsidRPr="00F002C2">
        <w:t>do jednorázového nádobí, balené chlazené nápoje.</w:t>
      </w:r>
    </w:p>
    <w:p w:rsidR="0003060B" w:rsidRPr="00F002C2" w:rsidRDefault="0003060B" w:rsidP="0003060B">
      <w:pPr>
        <w:pStyle w:val="Odstavecseseznamem"/>
        <w:numPr>
          <w:ilvl w:val="0"/>
          <w:numId w:val="13"/>
        </w:numPr>
        <w:spacing w:before="120" w:line="276" w:lineRule="auto"/>
        <w:jc w:val="both"/>
        <w:rPr>
          <w:rFonts w:ascii="Calibri" w:hAnsi="Calibri" w:cs="Tahoma"/>
          <w:sz w:val="22"/>
          <w:szCs w:val="22"/>
        </w:rPr>
      </w:pPr>
      <w:r w:rsidRPr="00F002C2">
        <w:rPr>
          <w:rFonts w:ascii="Calibri" w:hAnsi="Calibri" w:cs="Tahoma"/>
          <w:sz w:val="22"/>
          <w:szCs w:val="22"/>
        </w:rPr>
        <w:t>Nájemce je povinen v předmětu nájmu za sjednaných podmínek provozovat a zajišťovat gastronomický provoz v souladu s touto smlouvou, obecně závaznými právními předpisy a pokyny pronajímatele. Pokyny pronajímatele mohou vyplývat i z e</w:t>
      </w:r>
      <w:r w:rsidR="00F71FFA" w:rsidRPr="00F002C2">
        <w:rPr>
          <w:rFonts w:ascii="Calibri" w:hAnsi="Calibri" w:cs="Tahoma"/>
          <w:sz w:val="22"/>
          <w:szCs w:val="22"/>
        </w:rPr>
        <w:t>xterních hygienických auditů a </w:t>
      </w:r>
      <w:proofErr w:type="spellStart"/>
      <w:r w:rsidR="00F71FFA" w:rsidRPr="00F002C2">
        <w:rPr>
          <w:rFonts w:ascii="Calibri" w:hAnsi="Calibri" w:cs="Tahoma"/>
          <w:sz w:val="22"/>
          <w:szCs w:val="22"/>
        </w:rPr>
        <w:t>m</w:t>
      </w:r>
      <w:r w:rsidRPr="00F002C2">
        <w:rPr>
          <w:rFonts w:ascii="Calibri" w:hAnsi="Calibri" w:cs="Tahoma"/>
          <w:sz w:val="22"/>
          <w:szCs w:val="22"/>
        </w:rPr>
        <w:t>ystery</w:t>
      </w:r>
      <w:proofErr w:type="spellEnd"/>
      <w:r w:rsidRPr="00F002C2">
        <w:rPr>
          <w:rFonts w:ascii="Calibri" w:hAnsi="Calibri" w:cs="Tahoma"/>
          <w:sz w:val="22"/>
          <w:szCs w:val="22"/>
        </w:rPr>
        <w:t xml:space="preserve"> </w:t>
      </w:r>
      <w:proofErr w:type="spellStart"/>
      <w:r w:rsidRPr="00F002C2">
        <w:rPr>
          <w:rFonts w:ascii="Calibri" w:hAnsi="Calibri" w:cs="Tahoma"/>
          <w:sz w:val="22"/>
          <w:szCs w:val="22"/>
        </w:rPr>
        <w:t>sho</w:t>
      </w:r>
      <w:r w:rsidR="00F71FFA" w:rsidRPr="00F002C2">
        <w:rPr>
          <w:rFonts w:ascii="Calibri" w:hAnsi="Calibri" w:cs="Tahoma"/>
          <w:sz w:val="22"/>
          <w:szCs w:val="22"/>
        </w:rPr>
        <w:t>p</w:t>
      </w:r>
      <w:r w:rsidRPr="00F002C2">
        <w:rPr>
          <w:rFonts w:ascii="Calibri" w:hAnsi="Calibri" w:cs="Tahoma"/>
          <w:sz w:val="22"/>
          <w:szCs w:val="22"/>
        </w:rPr>
        <w:t>pingů</w:t>
      </w:r>
      <w:proofErr w:type="spellEnd"/>
      <w:r w:rsidRPr="00F002C2">
        <w:rPr>
          <w:rFonts w:ascii="Calibri" w:hAnsi="Calibri" w:cs="Tahoma"/>
          <w:sz w:val="22"/>
          <w:szCs w:val="22"/>
        </w:rPr>
        <w:t xml:space="preserve">. </w:t>
      </w:r>
    </w:p>
    <w:p w:rsidR="0003060B" w:rsidRDefault="0003060B" w:rsidP="0003060B">
      <w:pPr>
        <w:numPr>
          <w:ilvl w:val="0"/>
          <w:numId w:val="13"/>
        </w:numPr>
        <w:spacing w:before="120" w:line="276" w:lineRule="auto"/>
        <w:jc w:val="both"/>
        <w:rPr>
          <w:rFonts w:ascii="Calibri" w:hAnsi="Calibri" w:cs="Tahoma"/>
          <w:sz w:val="22"/>
          <w:szCs w:val="22"/>
        </w:rPr>
      </w:pPr>
      <w:r w:rsidRPr="00F002C2">
        <w:rPr>
          <w:rFonts w:ascii="Calibri" w:hAnsi="Calibri" w:cs="Tahoma"/>
          <w:sz w:val="22"/>
          <w:szCs w:val="22"/>
        </w:rPr>
        <w:t xml:space="preserve">Nájemce si je vědom </w:t>
      </w:r>
      <w:r w:rsidRPr="008C20AE">
        <w:rPr>
          <w:rFonts w:ascii="Calibri" w:hAnsi="Calibri" w:cs="Tahoma"/>
          <w:sz w:val="22"/>
          <w:szCs w:val="22"/>
        </w:rPr>
        <w:t xml:space="preserve">a souhlasí s tím, že </w:t>
      </w:r>
      <w:r>
        <w:rPr>
          <w:rFonts w:ascii="Calibri" w:hAnsi="Calibri" w:cs="Tahoma"/>
          <w:sz w:val="22"/>
          <w:szCs w:val="22"/>
        </w:rPr>
        <w:t>p</w:t>
      </w:r>
      <w:r w:rsidRPr="008C20AE">
        <w:rPr>
          <w:rFonts w:ascii="Calibri" w:hAnsi="Calibri" w:cs="Tahoma"/>
          <w:sz w:val="22"/>
          <w:szCs w:val="22"/>
        </w:rPr>
        <w:t xml:space="preserve">ronajímatel může pronajmout </w:t>
      </w:r>
      <w:r>
        <w:rPr>
          <w:rFonts w:ascii="Calibri" w:hAnsi="Calibri" w:cs="Tahoma"/>
          <w:sz w:val="22"/>
          <w:szCs w:val="22"/>
        </w:rPr>
        <w:t xml:space="preserve">jiné části areálu zoologické zahrady </w:t>
      </w:r>
      <w:r w:rsidRPr="008C20AE">
        <w:rPr>
          <w:rFonts w:ascii="Calibri" w:hAnsi="Calibri" w:cs="Tahoma"/>
          <w:sz w:val="22"/>
          <w:szCs w:val="22"/>
        </w:rPr>
        <w:t>jiným nájemcům, kteří budou provozovat obchodní činnost</w:t>
      </w:r>
      <w:r>
        <w:rPr>
          <w:rFonts w:ascii="Calibri" w:hAnsi="Calibri" w:cs="Tahoma"/>
          <w:sz w:val="22"/>
          <w:szCs w:val="22"/>
        </w:rPr>
        <w:t xml:space="preserve"> a poskytovat služby</w:t>
      </w:r>
      <w:r w:rsidRPr="008C20AE">
        <w:rPr>
          <w:rFonts w:ascii="Calibri" w:hAnsi="Calibri" w:cs="Tahoma"/>
          <w:sz w:val="22"/>
          <w:szCs w:val="22"/>
        </w:rPr>
        <w:t xml:space="preserve"> stejného druhu jako </w:t>
      </w:r>
      <w:r>
        <w:rPr>
          <w:rFonts w:ascii="Calibri" w:hAnsi="Calibri" w:cs="Tahoma"/>
          <w:sz w:val="22"/>
          <w:szCs w:val="22"/>
        </w:rPr>
        <w:t>n</w:t>
      </w:r>
      <w:r w:rsidRPr="008C20AE">
        <w:rPr>
          <w:rFonts w:ascii="Calibri" w:hAnsi="Calibri" w:cs="Tahoma"/>
          <w:sz w:val="22"/>
          <w:szCs w:val="22"/>
        </w:rPr>
        <w:t>ájemce.</w:t>
      </w:r>
    </w:p>
    <w:p w:rsidR="0003060B" w:rsidRDefault="0003060B" w:rsidP="0003060B">
      <w:pPr>
        <w:spacing w:before="120" w:line="276" w:lineRule="auto"/>
        <w:jc w:val="both"/>
        <w:rPr>
          <w:rFonts w:ascii="Calibri" w:hAnsi="Calibri" w:cs="Tahoma"/>
          <w:sz w:val="22"/>
          <w:szCs w:val="22"/>
        </w:rPr>
      </w:pPr>
    </w:p>
    <w:p w:rsidR="0003060B" w:rsidRPr="00AD5C13" w:rsidRDefault="0003060B" w:rsidP="0003060B">
      <w:pPr>
        <w:pStyle w:val="Nadpis1"/>
      </w:pPr>
      <w:r w:rsidRPr="00AD5C13">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w:t>
      </w:r>
      <w:r w:rsidRPr="00F002C2">
        <w:rPr>
          <w:rFonts w:ascii="Calibri" w:hAnsi="Calibri" w:cs="Tahoma"/>
          <w:sz w:val="22"/>
          <w:szCs w:val="22"/>
        </w:rPr>
        <w:t xml:space="preserve">nejpozději </w:t>
      </w:r>
      <w:r w:rsidRPr="00E818D4">
        <w:rPr>
          <w:rFonts w:ascii="Calibri" w:hAnsi="Calibri" w:cs="Tahoma"/>
          <w:sz w:val="22"/>
          <w:szCs w:val="22"/>
        </w:rPr>
        <w:t xml:space="preserve">od </w:t>
      </w:r>
      <w:proofErr w:type="gramStart"/>
      <w:r w:rsidR="00030647">
        <w:rPr>
          <w:rFonts w:ascii="Calibri" w:hAnsi="Calibri" w:cs="Tahoma"/>
          <w:sz w:val="22"/>
          <w:szCs w:val="22"/>
        </w:rPr>
        <w:t>20</w:t>
      </w:r>
      <w:r w:rsidR="00D46ABD" w:rsidRPr="00E818D4">
        <w:rPr>
          <w:rFonts w:ascii="Calibri" w:hAnsi="Calibri" w:cs="Tahoma"/>
          <w:sz w:val="22"/>
          <w:szCs w:val="22"/>
        </w:rPr>
        <w:t>.</w:t>
      </w:r>
      <w:r w:rsidR="00E818D4" w:rsidRPr="00E818D4">
        <w:rPr>
          <w:rFonts w:ascii="Calibri" w:hAnsi="Calibri" w:cs="Tahoma"/>
          <w:sz w:val="22"/>
          <w:szCs w:val="22"/>
        </w:rPr>
        <w:t>3. 2015</w:t>
      </w:r>
      <w:proofErr w:type="gramEnd"/>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 xml:space="preserve">pokutu uvedenou v článku V. 5 odstavci 4 </w:t>
      </w:r>
      <w:proofErr w:type="gramStart"/>
      <w:r w:rsidR="004B7E39">
        <w:rPr>
          <w:rFonts w:ascii="Calibri" w:hAnsi="Calibri" w:cs="Tahoma"/>
          <w:sz w:val="22"/>
          <w:szCs w:val="22"/>
        </w:rPr>
        <w:t>této</w:t>
      </w:r>
      <w:proofErr w:type="gramEnd"/>
      <w:r w:rsidR="004B7E39">
        <w:rPr>
          <w:rFonts w:ascii="Calibri" w:hAnsi="Calibri" w:cs="Tahoma"/>
          <w:sz w:val="22"/>
          <w:szCs w:val="22"/>
        </w:rPr>
        <w:t xml:space="preserve">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lastRenderedPageBreak/>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818D4">
        <w:rPr>
          <w:rFonts w:ascii="Calibri" w:hAnsi="Calibri" w:cs="Tahoma"/>
          <w:sz w:val="22"/>
          <w:szCs w:val="22"/>
        </w:rPr>
        <w:t>6</w:t>
      </w:r>
      <w:r>
        <w:rPr>
          <w:rFonts w:ascii="Calibri" w:hAnsi="Calibri" w:cs="Tahoma"/>
          <w:sz w:val="22"/>
          <w:szCs w:val="22"/>
        </w:rPr>
        <w:t xml:space="preserve"> (</w:t>
      </w:r>
      <w:r w:rsidR="00E818D4">
        <w:rPr>
          <w:rFonts w:ascii="Calibri" w:hAnsi="Calibri" w:cs="Tahoma"/>
          <w:sz w:val="22"/>
          <w:szCs w:val="22"/>
        </w:rPr>
        <w:t>šest</w:t>
      </w:r>
      <w:r w:rsidRPr="00323499">
        <w:rPr>
          <w:rFonts w:ascii="Calibri" w:hAnsi="Calibri" w:cs="Tahoma"/>
          <w:sz w:val="22"/>
          <w:szCs w:val="22"/>
        </w:rPr>
        <w:t xml:space="preserve">) </w:t>
      </w:r>
      <w:r w:rsidRPr="003F17FE">
        <w:rPr>
          <w:rFonts w:ascii="Calibri" w:hAnsi="Calibri" w:cs="Tahoma"/>
          <w:sz w:val="22"/>
          <w:szCs w:val="22"/>
        </w:rPr>
        <w:t>měsíc</w:t>
      </w:r>
      <w:r w:rsidR="00E818D4">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241091" w:rsidRDefault="00241091" w:rsidP="00241091">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nájmu.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 xml:space="preserve">trojnásobku nájemného podle této smlouvy připadající na jeden den, a to za každý den prodlení.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241091" w:rsidRPr="0013558F" w:rsidRDefault="00241091" w:rsidP="00241091">
      <w:pPr>
        <w:numPr>
          <w:ilvl w:val="0"/>
          <w:numId w:val="14"/>
        </w:numPr>
        <w:spacing w:before="120" w:line="276" w:lineRule="auto"/>
        <w:jc w:val="both"/>
        <w:rPr>
          <w:rFonts w:ascii="Calibri" w:hAnsi="Calibri" w:cs="Tahoma"/>
          <w:sz w:val="22"/>
          <w:szCs w:val="22"/>
        </w:rPr>
      </w:pPr>
      <w:r>
        <w:rPr>
          <w:rFonts w:ascii="Calibri" w:hAnsi="Calibri" w:cs="Tahoma"/>
          <w:sz w:val="22"/>
          <w:szCs w:val="22"/>
        </w:rPr>
        <w:t xml:space="preserve">Vyklízení a uvedení předmětu nájmu </w:t>
      </w:r>
      <w:r w:rsidRPr="00F14921">
        <w:rPr>
          <w:rFonts w:ascii="Calibri" w:hAnsi="Calibri" w:cs="Tahoma"/>
          <w:sz w:val="22"/>
          <w:szCs w:val="22"/>
        </w:rPr>
        <w:t>do původního stavu</w:t>
      </w:r>
      <w:r>
        <w:rPr>
          <w:rFonts w:ascii="Calibri" w:hAnsi="Calibri" w:cs="Tahoma"/>
          <w:sz w:val="22"/>
          <w:szCs w:val="22"/>
        </w:rPr>
        <w:t>, mající vliv na řádný gastronomický provoz v předmětu nájmu,</w:t>
      </w:r>
      <w:r w:rsidRPr="00F14921">
        <w:rPr>
          <w:rFonts w:ascii="Calibri" w:hAnsi="Calibri" w:cs="Tahoma"/>
          <w:sz w:val="22"/>
          <w:szCs w:val="22"/>
        </w:rPr>
        <w:t xml:space="preserve"> nesmí trvat déle než </w:t>
      </w:r>
      <w:r>
        <w:rPr>
          <w:rFonts w:ascii="Calibri" w:hAnsi="Calibri" w:cs="Tahoma"/>
          <w:sz w:val="22"/>
          <w:szCs w:val="22"/>
        </w:rPr>
        <w:t>14 (</w:t>
      </w:r>
      <w:r w:rsidRPr="00F14921">
        <w:rPr>
          <w:rFonts w:ascii="Calibri" w:hAnsi="Calibri" w:cs="Tahoma"/>
          <w:sz w:val="22"/>
          <w:szCs w:val="22"/>
        </w:rPr>
        <w:t>čtrnáct</w:t>
      </w:r>
      <w:r>
        <w:rPr>
          <w:rFonts w:ascii="Calibri" w:hAnsi="Calibri" w:cs="Tahoma"/>
          <w:sz w:val="22"/>
          <w:szCs w:val="22"/>
        </w:rPr>
        <w:t>)</w:t>
      </w:r>
      <w:r w:rsidRPr="00F14921">
        <w:rPr>
          <w:rFonts w:ascii="Calibri" w:hAnsi="Calibri" w:cs="Tahoma"/>
          <w:sz w:val="22"/>
          <w:szCs w:val="22"/>
        </w:rPr>
        <w:t xml:space="preserve"> kalendářních dnů</w:t>
      </w:r>
      <w:r>
        <w:rPr>
          <w:rFonts w:ascii="Calibri" w:hAnsi="Calibri" w:cs="Tahoma"/>
          <w:sz w:val="22"/>
          <w:szCs w:val="22"/>
        </w:rPr>
        <w:t xml:space="preserve">, v opačném případě vzniká pronajímateli nárok na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p>
    <w:p w:rsidR="005F6723" w:rsidRPr="00AD5C13" w:rsidRDefault="005F6723" w:rsidP="005F6723">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 xml:space="preserve">předmět </w:t>
      </w:r>
      <w:r>
        <w:rPr>
          <w:rFonts w:ascii="Calibri" w:hAnsi="Calibri" w:cs="Tahoma"/>
          <w:sz w:val="22"/>
          <w:szCs w:val="22"/>
        </w:rPr>
        <w:lastRenderedPageBreak/>
        <w:t>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5F6723" w:rsidRDefault="005F6723" w:rsidP="005F6723">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5F6723" w:rsidRPr="00AD5C13" w:rsidRDefault="005F6723" w:rsidP="005F6723">
      <w:pPr>
        <w:spacing w:before="120" w:line="276" w:lineRule="auto"/>
        <w:ind w:left="720"/>
        <w:jc w:val="both"/>
        <w:rPr>
          <w:rFonts w:ascii="Calibri" w:hAnsi="Calibri" w:cs="Tahoma"/>
          <w:sz w:val="22"/>
          <w:szCs w:val="22"/>
        </w:rPr>
      </w:pPr>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em předání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2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p</w:t>
      </w:r>
      <w:bookmarkStart w:id="0" w:name="_GoBack"/>
      <w:bookmarkEnd w:id="0"/>
      <w:r w:rsidRPr="00323499">
        <w:rPr>
          <w:rFonts w:ascii="Calibri" w:hAnsi="Calibri" w:cs="Calibri"/>
          <w:sz w:val="22"/>
          <w:szCs w:val="22"/>
        </w:rPr>
        <w:t>očínaje 1. lednem 201</w:t>
      </w:r>
      <w:r w:rsidR="00E818D4">
        <w:rPr>
          <w:rFonts w:ascii="Calibri" w:hAnsi="Calibri" w:cs="Calibri"/>
          <w:sz w:val="22"/>
          <w:szCs w:val="22"/>
        </w:rPr>
        <w:t>6</w:t>
      </w:r>
      <w:r w:rsidRPr="00323499">
        <w:rPr>
          <w:rFonts w:ascii="Calibri" w:hAnsi="Calibri" w:cs="Calibri"/>
          <w:sz w:val="22"/>
          <w:szCs w:val="22"/>
        </w:rPr>
        <w:t xml:space="preserve">, </w:t>
      </w:r>
      <w:r w:rsidRPr="0078798A">
        <w:rPr>
          <w:rFonts w:ascii="Calibri" w:hAnsi="Calibri" w:cs="Calibri"/>
          <w:sz w:val="22"/>
          <w:szCs w:val="22"/>
        </w:rPr>
        <w:t xml:space="preserve">oprávněn jednostranně zvýšit nájemné o roční míru inflace vyjádřenou přírůstkem průměrného ročního Indexu spotřebitelských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w:t>
      </w:r>
      <w:r w:rsidR="00CB53D0">
        <w:rPr>
          <w:rFonts w:ascii="Calibri" w:hAnsi="Calibri" w:cs="Tahoma"/>
          <w:sz w:val="22"/>
          <w:szCs w:val="22"/>
        </w:rPr>
        <w:t xml:space="preserve">č. </w:t>
      </w:r>
      <w:proofErr w:type="spellStart"/>
      <w:r w:rsidR="00CB53D0">
        <w:rPr>
          <w:rFonts w:ascii="Calibri" w:hAnsi="Calibri" w:cs="Tahoma"/>
          <w:sz w:val="22"/>
          <w:szCs w:val="22"/>
        </w:rPr>
        <w:t>ú.</w:t>
      </w:r>
      <w:proofErr w:type="spellEnd"/>
      <w:r w:rsidR="00CB53D0">
        <w:rPr>
          <w:rFonts w:ascii="Calibri" w:hAnsi="Calibri" w:cs="Calibri"/>
          <w:sz w:val="22"/>
          <w:szCs w:val="22"/>
        </w:rPr>
        <w:t xml:space="preserve"> </w:t>
      </w:r>
      <w:r w:rsidR="00CB53D0">
        <w:rPr>
          <w:rFonts w:ascii="Calibri" w:hAnsi="Calibri" w:cs="Tahoma"/>
          <w:sz w:val="22"/>
          <w:szCs w:val="22"/>
        </w:rPr>
        <w:t xml:space="preserve">1139071/0100, vedený </w:t>
      </w:r>
      <w:r w:rsidR="00CB53D0">
        <w:rPr>
          <w:rFonts w:ascii="Calibri" w:hAnsi="Calibri" w:cs="Calibri"/>
          <w:sz w:val="22"/>
          <w:szCs w:val="22"/>
        </w:rPr>
        <w:t>u Komerční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lastRenderedPageBreak/>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Pr="00A251AD" w:rsidRDefault="00A251AD"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w:t>
      </w:r>
      <w:r w:rsidR="000A6A63">
        <w:rPr>
          <w:rFonts w:ascii="Calibri" w:hAnsi="Calibri" w:cs="Tahoma"/>
          <w:sz w:val="22"/>
          <w:szCs w:val="22"/>
        </w:rPr>
        <w:t xml:space="preserve">č. </w:t>
      </w:r>
      <w:proofErr w:type="spellStart"/>
      <w:r w:rsidR="000A6A63">
        <w:rPr>
          <w:rFonts w:ascii="Calibri" w:hAnsi="Calibri" w:cs="Tahoma"/>
          <w:sz w:val="22"/>
          <w:szCs w:val="22"/>
        </w:rPr>
        <w:t>ú.</w:t>
      </w:r>
      <w:proofErr w:type="spellEnd"/>
      <w:r w:rsidR="000A6A63">
        <w:rPr>
          <w:rFonts w:ascii="Calibri" w:hAnsi="Calibri" w:cs="Calibri"/>
          <w:sz w:val="22"/>
          <w:szCs w:val="22"/>
        </w:rPr>
        <w:t xml:space="preserve"> </w:t>
      </w:r>
      <w:r w:rsidR="000A6A63">
        <w:rPr>
          <w:rFonts w:ascii="Calibri" w:hAnsi="Calibri" w:cs="Tahoma"/>
          <w:sz w:val="22"/>
          <w:szCs w:val="22"/>
        </w:rPr>
        <w:t xml:space="preserve">1139071/0100, vedený </w:t>
      </w:r>
      <w:r w:rsidR="000A6A63">
        <w:rPr>
          <w:rFonts w:ascii="Calibri" w:hAnsi="Calibri" w:cs="Calibri"/>
          <w:sz w:val="22"/>
          <w:szCs w:val="22"/>
        </w:rPr>
        <w:t>u Komerční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vyúčtování zálohových poplatků za služby spojené s užíváním předmětu nájmu, a to do 30 (třiceti) dnů od obdržení vyúčtování zálohových poplatků za všechny tyto služby.</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xml:space="preserve">, jakož i v případě, že výše kauce klesne pod minimální požadovanou hodnotu v důsledku zvýšení zákonné sazby DPH či  zvýšení ročního nájemného </w:t>
      </w:r>
      <w:r w:rsidRPr="0078798A">
        <w:rPr>
          <w:rFonts w:ascii="Calibri" w:hAnsi="Calibri" w:cs="Calibri"/>
          <w:sz w:val="22"/>
          <w:szCs w:val="22"/>
        </w:rPr>
        <w:lastRenderedPageBreak/>
        <w:t>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a postupovat při zajišťování gastronomického servisu jako řádný hospodář: </w:t>
      </w:r>
    </w:p>
    <w:p w:rsidR="00944736" w:rsidRPr="00E70571"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března</w:t>
      </w:r>
      <w:r w:rsidRPr="00515AD6">
        <w:rPr>
          <w:rFonts w:ascii="Calibri" w:hAnsi="Calibri" w:cs="Tahoma"/>
          <w:sz w:val="22"/>
          <w:szCs w:val="22"/>
        </w:rPr>
        <w:t xml:space="preserve"> do konce </w:t>
      </w:r>
      <w:r>
        <w:rPr>
          <w:rFonts w:ascii="Calibri" w:hAnsi="Calibri" w:cs="Tahoma"/>
          <w:sz w:val="22"/>
          <w:szCs w:val="22"/>
        </w:rPr>
        <w:t>října</w:t>
      </w:r>
      <w:r w:rsidRPr="00515AD6">
        <w:rPr>
          <w:rFonts w:ascii="Calibri" w:hAnsi="Calibri" w:cs="Tahoma"/>
          <w:sz w:val="22"/>
          <w:szCs w:val="22"/>
        </w:rPr>
        <w:t> každého kalendářního roku: po</w:t>
      </w:r>
      <w:r>
        <w:rPr>
          <w:rFonts w:ascii="Calibri" w:hAnsi="Calibri" w:cs="Tahoma"/>
          <w:sz w:val="22"/>
          <w:szCs w:val="22"/>
        </w:rPr>
        <w:t xml:space="preserve"> celou dobu</w:t>
      </w:r>
      <w:r w:rsidRPr="00515AD6">
        <w:rPr>
          <w:rFonts w:ascii="Calibri" w:hAnsi="Calibri" w:cs="Tahoma"/>
          <w:sz w:val="22"/>
          <w:szCs w:val="22"/>
        </w:rPr>
        <w:t xml:space="preserve"> </w:t>
      </w:r>
      <w:r w:rsidRPr="00E70571">
        <w:rPr>
          <w:rFonts w:ascii="Calibri" w:hAnsi="Calibri" w:cs="Tahoma"/>
          <w:sz w:val="22"/>
          <w:szCs w:val="22"/>
        </w:rPr>
        <w:t xml:space="preserve">otevření zoologické zahrady </w:t>
      </w:r>
    </w:p>
    <w:p w:rsidR="00447EE3" w:rsidRPr="00E70571" w:rsidRDefault="00447EE3" w:rsidP="00944736">
      <w:pPr>
        <w:numPr>
          <w:ilvl w:val="1"/>
          <w:numId w:val="20"/>
        </w:numPr>
        <w:spacing w:before="120" w:line="276" w:lineRule="auto"/>
        <w:jc w:val="both"/>
        <w:rPr>
          <w:rFonts w:ascii="Calibri" w:hAnsi="Calibri" w:cs="Tahoma"/>
          <w:sz w:val="22"/>
          <w:szCs w:val="22"/>
        </w:rPr>
      </w:pPr>
      <w:r w:rsidRPr="00E70571">
        <w:rPr>
          <w:rFonts w:ascii="Calibri" w:hAnsi="Calibri" w:cs="Tahoma"/>
          <w:sz w:val="22"/>
          <w:szCs w:val="22"/>
        </w:rPr>
        <w:t>V období od listopadu do konce února je otevírací doba</w:t>
      </w:r>
      <w:r w:rsidR="00E70571" w:rsidRPr="00E70571">
        <w:rPr>
          <w:rFonts w:ascii="Calibri" w:hAnsi="Calibri" w:cs="Tahoma"/>
          <w:sz w:val="22"/>
          <w:szCs w:val="22"/>
        </w:rPr>
        <w:t xml:space="preserve"> dobrovolná v návaznosti na počasí a mimořádné akce pořádané Zoo Praha</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 xml:space="preserve">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 xml:space="preserve">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w:t>
      </w:r>
      <w:r w:rsidR="002520F0">
        <w:rPr>
          <w:rFonts w:ascii="Calibri" w:hAnsi="Calibri" w:cs="Tahoma"/>
          <w:sz w:val="22"/>
          <w:szCs w:val="22"/>
        </w:rPr>
        <w:t xml:space="preserve">rních hygienických </w:t>
      </w:r>
      <w:proofErr w:type="gramStart"/>
      <w:r w:rsidR="002520F0">
        <w:rPr>
          <w:rFonts w:ascii="Calibri" w:hAnsi="Calibri" w:cs="Tahoma"/>
          <w:sz w:val="22"/>
          <w:szCs w:val="22"/>
        </w:rPr>
        <w:t>auditech</w:t>
      </w:r>
      <w:proofErr w:type="gramEnd"/>
      <w:r w:rsidR="002520F0">
        <w:rPr>
          <w:rFonts w:ascii="Calibri" w:hAnsi="Calibri" w:cs="Tahoma"/>
          <w:sz w:val="22"/>
          <w:szCs w:val="22"/>
        </w:rPr>
        <w:t xml:space="preserve">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lastRenderedPageBreak/>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EB3289" w:rsidRDefault="00EB3289"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Nájemce je povinen zajistit odvoz a likvidaci použitých potravinářských olejů a tuků specializovanou firmou na vlastní náklady.</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Pr="00A9190A"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 platbu stravovacími poukázkami (stravenkami)</w:t>
      </w:r>
      <w:r w:rsidRPr="00A9190A">
        <w:rPr>
          <w:rFonts w:ascii="Calibri" w:hAnsi="Calibri" w:cs="Tahoma"/>
          <w:i/>
        </w:rPr>
        <w:t xml:space="preserve"> </w:t>
      </w:r>
      <w:r w:rsidRPr="00A9190A">
        <w:rPr>
          <w:rFonts w:ascii="Calibri" w:hAnsi="Calibri" w:cs="Tahoma"/>
          <w:sz w:val="22"/>
          <w:szCs w:val="22"/>
        </w:rPr>
        <w:t xml:space="preserve">společnosti </w:t>
      </w:r>
      <w:proofErr w:type="spellStart"/>
      <w:r w:rsidRPr="00A9190A">
        <w:rPr>
          <w:rFonts w:ascii="Calibri" w:hAnsi="Calibri" w:cs="Tahoma"/>
          <w:sz w:val="22"/>
          <w:szCs w:val="22"/>
        </w:rPr>
        <w:t>Le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Cheque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Déjeneur</w:t>
      </w:r>
      <w:proofErr w:type="spellEnd"/>
      <w:r w:rsidRPr="00A9190A">
        <w:rPr>
          <w:rFonts w:ascii="Calibri" w:hAnsi="Calibri" w:cs="Tahoma"/>
          <w:sz w:val="22"/>
          <w:szCs w:val="22"/>
        </w:rPr>
        <w:t>.</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lastRenderedPageBreak/>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303090" w:rsidRDefault="00303090" w:rsidP="002F5046"/>
    <w:p w:rsidR="00B900A1" w:rsidRDefault="00B900A1" w:rsidP="002F5046"/>
    <w:p w:rsidR="00B900A1" w:rsidRDefault="00B900A1" w:rsidP="002F5046"/>
    <w:p w:rsidR="00B900A1" w:rsidRPr="00922F8B" w:rsidRDefault="00B900A1" w:rsidP="002F5046"/>
    <w:p w:rsidR="002F5046" w:rsidRPr="00AD5C13" w:rsidRDefault="002F5046" w:rsidP="002F5046">
      <w:pPr>
        <w:pStyle w:val="Nadpis1"/>
      </w:pPr>
      <w:r w:rsidRPr="00AD5C13">
        <w:lastRenderedPageBreak/>
        <w:t>Závazky ze vztahu</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sidR="00960566">
        <w:rPr>
          <w:rFonts w:ascii="Calibri" w:hAnsi="Calibri" w:cs="Tahoma"/>
          <w:sz w:val="22"/>
          <w:szCs w:val="22"/>
        </w:rPr>
        <w:t>Kofola, Plzeňský</w:t>
      </w:r>
      <w:r>
        <w:rPr>
          <w:rFonts w:ascii="Calibri" w:hAnsi="Calibri" w:cs="Tahoma"/>
          <w:sz w:val="22"/>
          <w:szCs w:val="22"/>
        </w:rPr>
        <w:t xml:space="preserve"> Prazdroj, </w:t>
      </w:r>
      <w:proofErr w:type="spellStart"/>
      <w:r w:rsidR="00030647">
        <w:rPr>
          <w:rFonts w:ascii="Calibri" w:hAnsi="Calibri" w:cs="Tahoma"/>
          <w:sz w:val="22"/>
          <w:szCs w:val="22"/>
        </w:rPr>
        <w:t>Bidvest</w:t>
      </w:r>
      <w:proofErr w:type="spellEnd"/>
      <w:r>
        <w:rPr>
          <w:rFonts w:ascii="Calibri" w:hAnsi="Calibri" w:cs="Tahoma"/>
          <w:sz w:val="22"/>
          <w:szCs w:val="22"/>
        </w:rPr>
        <w:t xml:space="preserve"> (</w:t>
      </w:r>
      <w:proofErr w:type="spellStart"/>
      <w:r>
        <w:rPr>
          <w:rFonts w:ascii="Calibri" w:hAnsi="Calibri" w:cs="Tahoma"/>
          <w:sz w:val="22"/>
          <w:szCs w:val="22"/>
        </w:rPr>
        <w:t>Nowaco</w:t>
      </w:r>
      <w:proofErr w:type="spellEnd"/>
      <w:r>
        <w:rPr>
          <w:rFonts w:ascii="Calibri" w:hAnsi="Calibri" w:cs="Tahoma"/>
          <w:sz w:val="22"/>
          <w:szCs w:val="22"/>
        </w:rPr>
        <w:t xml:space="preserve"> – </w:t>
      </w:r>
      <w:r w:rsidR="00030647">
        <w:rPr>
          <w:rFonts w:ascii="Calibri" w:hAnsi="Calibri" w:cs="Tahoma"/>
          <w:sz w:val="22"/>
          <w:szCs w:val="22"/>
        </w:rPr>
        <w:t>Prima</w:t>
      </w:r>
      <w:r>
        <w:rPr>
          <w:rFonts w:ascii="Calibri" w:hAnsi="Calibri" w:cs="Tahoma"/>
          <w:sz w:val="22"/>
          <w:szCs w:val="22"/>
        </w:rPr>
        <w:t xml:space="preserve">), </w:t>
      </w:r>
      <w:proofErr w:type="spellStart"/>
      <w:r w:rsidR="00803F3B">
        <w:rPr>
          <w:rFonts w:ascii="Calibri" w:hAnsi="Calibri" w:cs="Tahoma"/>
          <w:sz w:val="22"/>
          <w:szCs w:val="22"/>
        </w:rPr>
        <w:t>Mondelez</w:t>
      </w:r>
      <w:proofErr w:type="spellEnd"/>
      <w:r w:rsidR="00803F3B">
        <w:rPr>
          <w:rFonts w:ascii="Calibri" w:hAnsi="Calibri" w:cs="Tahoma"/>
          <w:sz w:val="22"/>
          <w:szCs w:val="22"/>
        </w:rPr>
        <w:t xml:space="preserve"> Czech Republic (Opavia,</w:t>
      </w:r>
      <w:r>
        <w:rPr>
          <w:rFonts w:ascii="Calibri" w:hAnsi="Calibri" w:cs="Tahoma"/>
          <w:sz w:val="22"/>
          <w:szCs w:val="22"/>
        </w:rPr>
        <w:t xml:space="preserve"> </w:t>
      </w:r>
      <w:proofErr w:type="spellStart"/>
      <w:r>
        <w:rPr>
          <w:rFonts w:ascii="Calibri" w:hAnsi="Calibri" w:cs="Tahoma"/>
          <w:sz w:val="22"/>
          <w:szCs w:val="22"/>
        </w:rPr>
        <w:t>Jacobs</w:t>
      </w:r>
      <w:proofErr w:type="spellEnd"/>
      <w:r w:rsidR="00803F3B">
        <w:rPr>
          <w:rFonts w:ascii="Calibri" w:hAnsi="Calibri" w:cs="Tahoma"/>
          <w:sz w:val="22"/>
          <w:szCs w:val="22"/>
        </w:rPr>
        <w:t>)</w:t>
      </w:r>
      <w:r>
        <w:rPr>
          <w:rFonts w:ascii="Calibri" w:hAnsi="Calibri" w:cs="Tahoma"/>
          <w:sz w:val="22"/>
          <w:szCs w:val="22"/>
        </w:rPr>
        <w:t>,</w:t>
      </w:r>
      <w:r w:rsidRPr="0084342A" w:rsidDel="00BA7E6C">
        <w:rPr>
          <w:rFonts w:ascii="Calibri" w:hAnsi="Calibri" w:cs="Tahoma"/>
          <w:sz w:val="22"/>
          <w:szCs w:val="22"/>
        </w:rPr>
        <w:t xml:space="preserve"> </w:t>
      </w:r>
      <w:r w:rsidRPr="0084342A">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2F5046" w:rsidRDefault="002F5046" w:rsidP="002F5046">
      <w:pPr>
        <w:spacing w:before="120" w:line="276" w:lineRule="auto"/>
        <w:jc w:val="both"/>
        <w:rPr>
          <w:rFonts w:ascii="Calibri" w:hAnsi="Calibri" w:cs="Tahoma"/>
          <w:color w:val="0070C0"/>
          <w:sz w:val="22"/>
          <w:szCs w:val="22"/>
        </w:rPr>
      </w:pPr>
    </w:p>
    <w:p w:rsidR="00B900A1" w:rsidRDefault="00B900A1" w:rsidP="002F5046">
      <w:pPr>
        <w:spacing w:before="120" w:line="276" w:lineRule="auto"/>
        <w:jc w:val="both"/>
        <w:rPr>
          <w:rFonts w:ascii="Calibri" w:hAnsi="Calibri" w:cs="Tahoma"/>
          <w:color w:val="0070C0"/>
          <w:sz w:val="22"/>
          <w:szCs w:val="22"/>
        </w:rPr>
      </w:pPr>
    </w:p>
    <w:p w:rsidR="002770A4" w:rsidRDefault="002770A4" w:rsidP="002F5046">
      <w:pPr>
        <w:spacing w:before="120" w:line="276" w:lineRule="auto"/>
        <w:jc w:val="both"/>
        <w:rPr>
          <w:rFonts w:ascii="Calibri" w:hAnsi="Calibri" w:cs="Tahoma"/>
          <w:color w:val="0070C0"/>
          <w:sz w:val="22"/>
          <w:szCs w:val="22"/>
        </w:rPr>
      </w:pPr>
    </w:p>
    <w:p w:rsidR="002770A4" w:rsidRDefault="002770A4" w:rsidP="002F5046">
      <w:pPr>
        <w:spacing w:before="120" w:line="276" w:lineRule="auto"/>
        <w:jc w:val="both"/>
        <w:rPr>
          <w:rFonts w:ascii="Calibri" w:hAnsi="Calibri" w:cs="Tahoma"/>
          <w:color w:val="0070C0"/>
          <w:sz w:val="22"/>
          <w:szCs w:val="22"/>
        </w:rPr>
      </w:pPr>
    </w:p>
    <w:p w:rsidR="00B900A1" w:rsidRPr="002F5046" w:rsidRDefault="00B900A1" w:rsidP="002F5046">
      <w:pPr>
        <w:spacing w:before="120" w:line="276" w:lineRule="auto"/>
        <w:jc w:val="both"/>
        <w:rPr>
          <w:rFonts w:ascii="Calibri" w:hAnsi="Calibri" w:cs="Tahoma"/>
          <w:color w:val="0070C0"/>
          <w:sz w:val="22"/>
          <w:szCs w:val="22"/>
        </w:rPr>
      </w:pPr>
    </w:p>
    <w:p w:rsidR="002F5046" w:rsidRDefault="002F5046" w:rsidP="002F5046">
      <w:pPr>
        <w:pStyle w:val="Nadpis1"/>
      </w:pPr>
      <w:r>
        <w:lastRenderedPageBreak/>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 xml:space="preserve">Nájemce je povinen provozovat podnikatelskou činnost v předmětu nájmu pod označením </w:t>
      </w:r>
      <w:r w:rsidRPr="00B900A1">
        <w:rPr>
          <w:rFonts w:ascii="Calibri" w:hAnsi="Calibri" w:cs="Calibri"/>
          <w:sz w:val="22"/>
          <w:szCs w:val="22"/>
        </w:rPr>
        <w:t>„</w:t>
      </w:r>
      <w:proofErr w:type="spellStart"/>
      <w:r w:rsidR="00960566" w:rsidRPr="00B900A1">
        <w:rPr>
          <w:rFonts w:ascii="Calibri" w:hAnsi="Calibri" w:cs="Calibri"/>
          <w:sz w:val="22"/>
          <w:szCs w:val="22"/>
        </w:rPr>
        <w:t>Minikoblížky</w:t>
      </w:r>
      <w:proofErr w:type="spellEnd"/>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lastRenderedPageBreak/>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1E6E9C" w:rsidRDefault="001E6E9C" w:rsidP="001E6E9C">
      <w:pPr>
        <w:spacing w:before="120" w:line="276" w:lineRule="auto"/>
        <w:jc w:val="both"/>
        <w:rPr>
          <w:rFonts w:ascii="Calibri" w:hAnsi="Calibri" w:cs="Tahoma"/>
          <w:b/>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180113" w:rsidRDefault="001E6E9C" w:rsidP="001E6E9C">
      <w:pPr>
        <w:spacing w:before="120" w:line="276" w:lineRule="auto"/>
        <w:ind w:left="720"/>
        <w:jc w:val="both"/>
        <w:rPr>
          <w:rFonts w:ascii="Calibri" w:hAnsi="Calibri" w:cs="Tahoma"/>
          <w:sz w:val="22"/>
          <w:szCs w:val="22"/>
        </w:rPr>
      </w:pPr>
    </w:p>
    <w:p w:rsidR="001E6E9C" w:rsidRPr="00AD5C13" w:rsidRDefault="001E6E9C" w:rsidP="001E6E9C">
      <w:pPr>
        <w:pStyle w:val="Nadpis1"/>
      </w:pPr>
      <w:r w:rsidRPr="00AD5C13">
        <w:t>Ostatní ujednání</w:t>
      </w: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lastRenderedPageBreak/>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960566" w:rsidRDefault="00960566"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2770A4" w:rsidRDefault="002770A4"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1E6E9C" w:rsidRPr="00AD5C13" w:rsidRDefault="001E6E9C"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1E6E9C" w:rsidRPr="00BB5DA5" w:rsidRDefault="001E6E9C" w:rsidP="001E6E9C">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1E6E9C" w:rsidRDefault="001E6E9C"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1E6E9C" w:rsidRPr="00AD5C13" w:rsidRDefault="00B900A1"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 xml:space="preserve">Mgr. </w:t>
      </w:r>
      <w:r w:rsidR="001E6E9C" w:rsidRPr="00AD5C13">
        <w:rPr>
          <w:rFonts w:ascii="Calibri" w:hAnsi="Calibri" w:cs="Tahoma"/>
          <w:sz w:val="22"/>
          <w:szCs w:val="22"/>
        </w:rPr>
        <w:t>Miroslav Bobek, ředitel</w:t>
      </w:r>
      <w:r w:rsidR="001E6E9C">
        <w:rPr>
          <w:rFonts w:ascii="Calibri" w:hAnsi="Calibri" w:cs="Tahoma"/>
          <w:sz w:val="22"/>
          <w:szCs w:val="22"/>
        </w:rPr>
        <w:tab/>
      </w:r>
      <w:r w:rsidR="001E6E9C" w:rsidRPr="00BB5DA5">
        <w:rPr>
          <w:rFonts w:ascii="Calibri" w:hAnsi="Calibri" w:cs="Calibri"/>
          <w:sz w:val="22"/>
          <w:szCs w:val="22"/>
        </w:rPr>
        <w:t>[</w:t>
      </w:r>
      <w:r w:rsidR="001E6E9C" w:rsidRPr="00DF3238">
        <w:rPr>
          <w:rFonts w:ascii="Calibri" w:hAnsi="Calibri" w:cs="Calibri"/>
          <w:sz w:val="22"/>
          <w:szCs w:val="22"/>
          <w:highlight w:val="yellow"/>
        </w:rPr>
        <w:t>doplní navrhovatel</w:t>
      </w:r>
      <w:r w:rsidR="001E6E9C" w:rsidRPr="00BB5DA5">
        <w:rPr>
          <w:rFonts w:ascii="Calibri" w:hAnsi="Calibri" w:cs="Calibri"/>
          <w:sz w:val="22"/>
          <w:szCs w:val="22"/>
        </w:rPr>
        <w:t>]</w:t>
      </w:r>
    </w:p>
    <w:p w:rsidR="00096C49" w:rsidRDefault="00096C49" w:rsidP="0003060B">
      <w:pPr>
        <w:spacing w:before="120" w:line="276" w:lineRule="auto"/>
        <w:jc w:val="both"/>
        <w:rPr>
          <w:rFonts w:ascii="Calibri" w:hAnsi="Calibri" w:cs="Tahoma"/>
          <w:sz w:val="22"/>
          <w:szCs w:val="22"/>
        </w:rPr>
      </w:pPr>
    </w:p>
    <w:p w:rsidR="0003060B" w:rsidRPr="001659B7" w:rsidRDefault="0003060B" w:rsidP="0003060B">
      <w:pPr>
        <w:pStyle w:val="Bezmezer"/>
      </w:pPr>
    </w:p>
    <w:p w:rsidR="00450A6C" w:rsidRPr="001659B7" w:rsidRDefault="00450A6C" w:rsidP="00450A6C">
      <w:pPr>
        <w:pStyle w:val="Bezmezer"/>
      </w:pPr>
    </w:p>
    <w:p w:rsidR="001307D6" w:rsidRPr="00861120" w:rsidRDefault="001307D6" w:rsidP="001307D6">
      <w:pPr>
        <w:spacing w:before="120" w:line="276" w:lineRule="auto"/>
        <w:jc w:val="both"/>
        <w:rPr>
          <w:rFonts w:ascii="Calibri" w:hAnsi="Calibri" w:cs="Calibri"/>
          <w:sz w:val="22"/>
          <w:szCs w:val="22"/>
        </w:rPr>
      </w:pPr>
    </w:p>
    <w:p w:rsidR="004354F1" w:rsidRDefault="004354F1"/>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p w:rsidR="00CB36FA" w:rsidRDefault="00CB36FA"/>
    <w:sectPr w:rsidR="00CB36F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62B" w:rsidRDefault="00AA262B" w:rsidP="00785FBE">
      <w:r>
        <w:separator/>
      </w:r>
    </w:p>
  </w:endnote>
  <w:endnote w:type="continuationSeparator" w:id="0">
    <w:p w:rsidR="00AA262B" w:rsidRDefault="00AA262B"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62B" w:rsidRDefault="00AA262B" w:rsidP="00785FBE">
      <w:r>
        <w:separator/>
      </w:r>
    </w:p>
  </w:footnote>
  <w:footnote w:type="continuationSeparator" w:id="0">
    <w:p w:rsidR="00AA262B" w:rsidRDefault="00AA262B"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AC1"/>
    <w:rsid w:val="00024235"/>
    <w:rsid w:val="000260EE"/>
    <w:rsid w:val="0003060B"/>
    <w:rsid w:val="00030647"/>
    <w:rsid w:val="00051194"/>
    <w:rsid w:val="00096C49"/>
    <w:rsid w:val="000A6A63"/>
    <w:rsid w:val="000C42FD"/>
    <w:rsid w:val="000E1850"/>
    <w:rsid w:val="000E3EAC"/>
    <w:rsid w:val="000F4AC1"/>
    <w:rsid w:val="00116456"/>
    <w:rsid w:val="00125EA6"/>
    <w:rsid w:val="001307D6"/>
    <w:rsid w:val="00153679"/>
    <w:rsid w:val="001D7B0A"/>
    <w:rsid w:val="001E6E9C"/>
    <w:rsid w:val="0021717E"/>
    <w:rsid w:val="00223359"/>
    <w:rsid w:val="00223B18"/>
    <w:rsid w:val="00241091"/>
    <w:rsid w:val="002520F0"/>
    <w:rsid w:val="002526CD"/>
    <w:rsid w:val="00257FD6"/>
    <w:rsid w:val="002770A4"/>
    <w:rsid w:val="00284A28"/>
    <w:rsid w:val="002A48FD"/>
    <w:rsid w:val="002B4C7D"/>
    <w:rsid w:val="002F5046"/>
    <w:rsid w:val="002F6173"/>
    <w:rsid w:val="00303090"/>
    <w:rsid w:val="00303E54"/>
    <w:rsid w:val="003D0C92"/>
    <w:rsid w:val="00410D44"/>
    <w:rsid w:val="00415CB5"/>
    <w:rsid w:val="004337FD"/>
    <w:rsid w:val="004354F1"/>
    <w:rsid w:val="00447EE3"/>
    <w:rsid w:val="00450A6C"/>
    <w:rsid w:val="00493D58"/>
    <w:rsid w:val="004B7E39"/>
    <w:rsid w:val="00566F57"/>
    <w:rsid w:val="00575CAF"/>
    <w:rsid w:val="00583474"/>
    <w:rsid w:val="005F6723"/>
    <w:rsid w:val="00600543"/>
    <w:rsid w:val="00653F13"/>
    <w:rsid w:val="006D2DB8"/>
    <w:rsid w:val="006E251B"/>
    <w:rsid w:val="0074095C"/>
    <w:rsid w:val="00746D6D"/>
    <w:rsid w:val="00761DF4"/>
    <w:rsid w:val="00785FBE"/>
    <w:rsid w:val="007B2928"/>
    <w:rsid w:val="00803F3B"/>
    <w:rsid w:val="00805B42"/>
    <w:rsid w:val="00810CE8"/>
    <w:rsid w:val="00836134"/>
    <w:rsid w:val="00841F2A"/>
    <w:rsid w:val="00842E25"/>
    <w:rsid w:val="00881FCB"/>
    <w:rsid w:val="008B5F2C"/>
    <w:rsid w:val="008F02A9"/>
    <w:rsid w:val="0091799E"/>
    <w:rsid w:val="00944736"/>
    <w:rsid w:val="00960566"/>
    <w:rsid w:val="00980377"/>
    <w:rsid w:val="00980766"/>
    <w:rsid w:val="009B33B1"/>
    <w:rsid w:val="009E3D6D"/>
    <w:rsid w:val="00A03984"/>
    <w:rsid w:val="00A251AD"/>
    <w:rsid w:val="00A46DC7"/>
    <w:rsid w:val="00A875F7"/>
    <w:rsid w:val="00A9190A"/>
    <w:rsid w:val="00AA262B"/>
    <w:rsid w:val="00AE0B50"/>
    <w:rsid w:val="00B41EF8"/>
    <w:rsid w:val="00B900A1"/>
    <w:rsid w:val="00BB19CE"/>
    <w:rsid w:val="00C265C5"/>
    <w:rsid w:val="00C26A13"/>
    <w:rsid w:val="00C77952"/>
    <w:rsid w:val="00CB36FA"/>
    <w:rsid w:val="00CB53D0"/>
    <w:rsid w:val="00D46ABD"/>
    <w:rsid w:val="00DB346E"/>
    <w:rsid w:val="00DD4FB9"/>
    <w:rsid w:val="00DF08ED"/>
    <w:rsid w:val="00E04D5B"/>
    <w:rsid w:val="00E16936"/>
    <w:rsid w:val="00E310DF"/>
    <w:rsid w:val="00E6341E"/>
    <w:rsid w:val="00E70571"/>
    <w:rsid w:val="00E818D4"/>
    <w:rsid w:val="00EB3289"/>
    <w:rsid w:val="00ED3401"/>
    <w:rsid w:val="00ED6A54"/>
    <w:rsid w:val="00EE3A5D"/>
    <w:rsid w:val="00F002C2"/>
    <w:rsid w:val="00F04415"/>
    <w:rsid w:val="00F65A55"/>
    <w:rsid w:val="00F71FFA"/>
    <w:rsid w:val="00F96CA0"/>
    <w:rsid w:val="00FC1824"/>
    <w:rsid w:val="00FE28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14</Pages>
  <Words>4786</Words>
  <Characters>28244</Characters>
  <Application>Microsoft Office Word</Application>
  <DocSecurity>0</DocSecurity>
  <Lines>235</Lines>
  <Paragraphs>65</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32965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Pellešová Eliška</cp:lastModifiedBy>
  <cp:revision>5</cp:revision>
  <dcterms:created xsi:type="dcterms:W3CDTF">2015-01-13T15:47:00Z</dcterms:created>
  <dcterms:modified xsi:type="dcterms:W3CDTF">2015-02-04T11:09:00Z</dcterms:modified>
</cp:coreProperties>
</file>